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Default="00F34C3D" w:rsidP="00F609C7">
      <w:pPr>
        <w:pStyle w:val="APAHeader"/>
        <w:rPr>
          <w:rStyle w:val="PageNumber"/>
        </w:rPr>
      </w:pPr>
    </w:p>
    <w:p w:rsidR="00F609C7" w:rsidRDefault="00F609C7" w:rsidP="00F609C7">
      <w:pPr>
        <w:pStyle w:val="APA"/>
      </w:pPr>
    </w:p>
    <w:p w:rsidR="00F609C7" w:rsidRDefault="00F609C7" w:rsidP="00F609C7">
      <w:pPr>
        <w:pStyle w:val="APA"/>
      </w:pPr>
    </w:p>
    <w:p w:rsidR="00F609C7" w:rsidRDefault="00F609C7" w:rsidP="00F609C7">
      <w:pPr>
        <w:pStyle w:val="APA"/>
      </w:pPr>
    </w:p>
    <w:p w:rsidR="00F609C7" w:rsidRDefault="00F609C7" w:rsidP="00F609C7">
      <w:pPr>
        <w:pStyle w:val="APA"/>
      </w:pPr>
    </w:p>
    <w:p w:rsidR="00F609C7" w:rsidRPr="00F609C7" w:rsidRDefault="00F609C7" w:rsidP="00F609C7">
      <w:pPr>
        <w:pStyle w:val="APAHeader"/>
      </w:pPr>
      <w:bookmarkStart w:id="0" w:name="bkMainTitle"/>
      <w:r w:rsidRPr="00F609C7">
        <w:t>Criminal Law</w:t>
      </w:r>
      <w:bookmarkEnd w:id="0"/>
    </w:p>
    <w:p w:rsidR="00F609C7" w:rsidRPr="00F609C7" w:rsidRDefault="00EB1D49" w:rsidP="00F609C7">
      <w:pPr>
        <w:pStyle w:val="APAHeader"/>
      </w:pPr>
      <w:proofErr w:type="spellStart"/>
      <w:proofErr w:type="gramStart"/>
      <w:r>
        <w:t>xxxxxxx</w:t>
      </w:r>
      <w:proofErr w:type="spellEnd"/>
      <w:proofErr w:type="gramEnd"/>
    </w:p>
    <w:p w:rsidR="00F609C7" w:rsidRPr="00F609C7" w:rsidRDefault="00F609C7" w:rsidP="00F609C7">
      <w:pPr>
        <w:pStyle w:val="APAHeader"/>
      </w:pPr>
      <w:bookmarkStart w:id="1" w:name="bkCourseNum"/>
      <w:r w:rsidRPr="00F609C7">
        <w:t>CJA/305</w:t>
      </w:r>
      <w:bookmarkEnd w:id="1"/>
    </w:p>
    <w:p w:rsidR="00F609C7" w:rsidRPr="00F609C7" w:rsidRDefault="00F609C7" w:rsidP="00F609C7">
      <w:pPr>
        <w:pStyle w:val="APAHeader"/>
      </w:pPr>
      <w:bookmarkStart w:id="2" w:name="bkDueDate"/>
      <w:r w:rsidRPr="00F609C7">
        <w:t>July 18, 2016</w:t>
      </w:r>
      <w:bookmarkEnd w:id="2"/>
    </w:p>
    <w:p w:rsidR="00F609C7" w:rsidRPr="00F609C7" w:rsidRDefault="00EB1D49" w:rsidP="00F609C7">
      <w:pPr>
        <w:pStyle w:val="APAHeader"/>
      </w:pPr>
      <w:r>
        <w:t>xxxxxxxx</w:t>
      </w:r>
      <w:bookmarkStart w:id="3" w:name="_GoBack"/>
      <w:bookmarkEnd w:id="3"/>
    </w:p>
    <w:p w:rsidR="00F609C7" w:rsidRDefault="00F609C7" w:rsidP="00F609C7">
      <w:pPr>
        <w:pStyle w:val="APA"/>
        <w:sectPr w:rsidR="00F609C7" w:rsidSect="00F609C7">
          <w:headerReference w:type="default" r:id="rId7"/>
          <w:headerReference w:type="first" r:id="rId8"/>
          <w:pgSz w:w="12240" w:h="15840" w:code="1"/>
          <w:pgMar w:top="1440" w:right="1440" w:bottom="1440" w:left="1440" w:header="720" w:footer="720" w:gutter="0"/>
          <w:cols w:space="720"/>
          <w:titlePg/>
          <w:docGrid w:linePitch="360"/>
        </w:sectPr>
      </w:pPr>
    </w:p>
    <w:p w:rsidR="00F609C7" w:rsidRDefault="00F609C7">
      <w:pPr>
        <w:rPr>
          <w:szCs w:val="20"/>
        </w:rPr>
      </w:pPr>
      <w:r>
        <w:lastRenderedPageBreak/>
        <w:br w:type="page"/>
      </w:r>
    </w:p>
    <w:p w:rsidR="00F609C7" w:rsidRPr="00F609C7" w:rsidRDefault="00F609C7" w:rsidP="00F609C7">
      <w:pPr>
        <w:pStyle w:val="APAHeader"/>
      </w:pPr>
      <w:bookmarkStart w:id="6" w:name="bkFirstPageTitle"/>
      <w:r w:rsidRPr="00F609C7">
        <w:lastRenderedPageBreak/>
        <w:t>Criminal Law</w:t>
      </w:r>
      <w:bookmarkEnd w:id="6"/>
    </w:p>
    <w:p w:rsidR="00F609C7" w:rsidRPr="00F94341" w:rsidRDefault="00F94341" w:rsidP="00F609C7">
      <w:pPr>
        <w:spacing w:line="480" w:lineRule="auto"/>
        <w:ind w:firstLine="720"/>
      </w:pPr>
      <w:r w:rsidRPr="00F94341">
        <w:t xml:space="preserve">The realities of the case are as per the following. The </w:t>
      </w:r>
      <w:r w:rsidRPr="00DC5992">
        <w:rPr>
          <w:b/>
        </w:rPr>
        <w:t>Respondents Luis Sánchez Valle and Jaime Gómez Vazquez each sold a</w:t>
      </w:r>
      <w:r w:rsidRPr="00F94341">
        <w:t xml:space="preserve"> firearm </w:t>
      </w:r>
      <w:r w:rsidRPr="00DC5992">
        <w:rPr>
          <w:b/>
        </w:rPr>
        <w:t>to</w:t>
      </w:r>
      <w:r w:rsidRPr="00F94341">
        <w:t xml:space="preserve"> a covert cop. They were arraigned for unlawfully offering guns infringing upon the Puerto Rico Arms Act of 2000 by Puerto Rican prosecutors. While those charges were pending, </w:t>
      </w:r>
      <w:r w:rsidR="00E70568" w:rsidRPr="00F94341">
        <w:t>government-amazing</w:t>
      </w:r>
      <w:r w:rsidRPr="00F94341">
        <w:t xml:space="preserve"> juries likewise arraigned them, in view of the same exchanges, for infringement of undifferentiated from U. S. weapon trafficking statutes. They conceded </w:t>
      </w:r>
      <w:r w:rsidRPr="00DC5992">
        <w:rPr>
          <w:b/>
        </w:rPr>
        <w:t>to the</w:t>
      </w:r>
      <w:r w:rsidRPr="00F94341">
        <w:t xml:space="preserve"> government </w:t>
      </w:r>
      <w:r w:rsidRPr="00DC5992">
        <w:rPr>
          <w:b/>
        </w:rPr>
        <w:t>charges and moved to</w:t>
      </w:r>
      <w:r w:rsidRPr="00F94341">
        <w:t xml:space="preserve"> reject </w:t>
      </w:r>
      <w:r w:rsidRPr="00DC5992">
        <w:rPr>
          <w:b/>
        </w:rPr>
        <w:t>the</w:t>
      </w:r>
      <w:r w:rsidRPr="00F94341">
        <w:t xml:space="preserve"> pending </w:t>
      </w:r>
      <w:r w:rsidRPr="00DC5992">
        <w:rPr>
          <w:b/>
        </w:rPr>
        <w:t>Commonwealth charges on</w:t>
      </w:r>
      <w:r w:rsidRPr="00F94341">
        <w:t xml:space="preserve"> twofold peril </w:t>
      </w:r>
      <w:r w:rsidRPr="00DC5992">
        <w:rPr>
          <w:b/>
        </w:rPr>
        <w:t>grounds.</w:t>
      </w:r>
      <w:r w:rsidR="00F609C7" w:rsidRPr="00F94341">
        <w:t xml:space="preserve"> </w:t>
      </w:r>
    </w:p>
    <w:p w:rsidR="00F609C7" w:rsidRPr="00632143" w:rsidRDefault="00632143" w:rsidP="00F609C7">
      <w:pPr>
        <w:spacing w:line="480" w:lineRule="auto"/>
        <w:ind w:firstLine="720"/>
      </w:pPr>
      <w:r w:rsidRPr="00DC5992">
        <w:rPr>
          <w:b/>
        </w:rPr>
        <w:t>The trial court</w:t>
      </w:r>
      <w:r w:rsidRPr="00632143">
        <w:t xml:space="preserve"> for every situation released the charges and rejected prosecutors' contentions </w:t>
      </w:r>
      <w:r w:rsidRPr="00DC5992">
        <w:rPr>
          <w:b/>
        </w:rPr>
        <w:t>that Puerto Rico and the United States are</w:t>
      </w:r>
      <w:r w:rsidRPr="00632143">
        <w:t xml:space="preserve"> separate </w:t>
      </w:r>
      <w:r w:rsidRPr="00DC5992">
        <w:rPr>
          <w:b/>
        </w:rPr>
        <w:t>sovereigns for</w:t>
      </w:r>
      <w:r w:rsidRPr="00632143">
        <w:t xml:space="preserve"> twofold danger </w:t>
      </w:r>
      <w:r w:rsidRPr="00DC5992">
        <w:rPr>
          <w:b/>
        </w:rPr>
        <w:t>purposes</w:t>
      </w:r>
      <w:r w:rsidRPr="00632143">
        <w:t xml:space="preserve"> thus </w:t>
      </w:r>
      <w:r w:rsidRPr="00DC5992">
        <w:rPr>
          <w:b/>
        </w:rPr>
        <w:t>could bring</w:t>
      </w:r>
      <w:r w:rsidRPr="00632143">
        <w:t xml:space="preserve"> progressive indictments </w:t>
      </w:r>
      <w:r w:rsidRPr="00DC5992">
        <w:rPr>
          <w:b/>
        </w:rPr>
        <w:t>against</w:t>
      </w:r>
      <w:r w:rsidRPr="00632143">
        <w:t xml:space="preserve"> every litigant. </w:t>
      </w:r>
      <w:r w:rsidRPr="00DC5992">
        <w:rPr>
          <w:b/>
        </w:rPr>
        <w:t>The Puerto Rico Court of</w:t>
      </w:r>
      <w:r w:rsidRPr="00632143">
        <w:t xml:space="preserve"> Appeals merged </w:t>
      </w:r>
      <w:r w:rsidRPr="00DC5992">
        <w:rPr>
          <w:b/>
        </w:rPr>
        <w:t>the cases and</w:t>
      </w:r>
      <w:r w:rsidRPr="00632143">
        <w:t xml:space="preserve"> turned around </w:t>
      </w:r>
      <w:r w:rsidRPr="00DC5992">
        <w:rPr>
          <w:b/>
        </w:rPr>
        <w:t>the</w:t>
      </w:r>
      <w:r w:rsidRPr="00632143">
        <w:t xml:space="preserve"> said holding. The </w:t>
      </w:r>
      <w:r w:rsidRPr="00DC5992">
        <w:rPr>
          <w:b/>
        </w:rPr>
        <w:t>Supreme Court of Puerto Rico</w:t>
      </w:r>
      <w:r w:rsidRPr="00632143">
        <w:t xml:space="preserve"> allowed survey </w:t>
      </w:r>
      <w:r w:rsidRPr="00DC5992">
        <w:rPr>
          <w:b/>
        </w:rPr>
        <w:t>and</w:t>
      </w:r>
      <w:r w:rsidRPr="00632143">
        <w:t xml:space="preserve"> expressed that </w:t>
      </w:r>
      <w:r w:rsidRPr="00DC5992">
        <w:rPr>
          <w:b/>
        </w:rPr>
        <w:t>in</w:t>
      </w:r>
      <w:r w:rsidRPr="00632143">
        <w:t xml:space="preserve"> accordance </w:t>
      </w:r>
      <w:r w:rsidRPr="00DC5992">
        <w:rPr>
          <w:b/>
        </w:rPr>
        <w:t>with the trial court</w:t>
      </w:r>
      <w:r w:rsidRPr="00632143">
        <w:t xml:space="preserve">, the </w:t>
      </w:r>
      <w:r w:rsidRPr="00DC5992">
        <w:rPr>
          <w:b/>
        </w:rPr>
        <w:t>Puerto Rico's</w:t>
      </w:r>
      <w:r w:rsidRPr="00632143">
        <w:t xml:space="preserve"> firearm deal indictments disregarded the Double Jeopardy Clause. It was at long last held </w:t>
      </w:r>
      <w:r w:rsidRPr="007F2F47">
        <w:rPr>
          <w:b/>
        </w:rPr>
        <w:t>that the Double Jeopardy Clause bars Puerto Rico and the United States from</w:t>
      </w:r>
      <w:r w:rsidRPr="00632143">
        <w:t xml:space="preserve"> progressively indicting a solitary individual </w:t>
      </w:r>
      <w:r w:rsidRPr="007F2F47">
        <w:rPr>
          <w:b/>
        </w:rPr>
        <w:t>for the same</w:t>
      </w:r>
      <w:r w:rsidRPr="00632143">
        <w:t xml:space="preserve"> behavior </w:t>
      </w:r>
      <w:r w:rsidRPr="007F2F47">
        <w:rPr>
          <w:b/>
        </w:rPr>
        <w:t>under</w:t>
      </w:r>
      <w:r w:rsidRPr="00632143">
        <w:t xml:space="preserve"> equal </w:t>
      </w:r>
      <w:r w:rsidRPr="007F2F47">
        <w:rPr>
          <w:b/>
        </w:rPr>
        <w:t>criminal laws.</w:t>
      </w:r>
    </w:p>
    <w:p w:rsidR="00F609C7" w:rsidRPr="004E1EB6" w:rsidRDefault="00F609C7" w:rsidP="00F609C7">
      <w:pPr>
        <w:spacing w:line="480" w:lineRule="auto"/>
        <w:ind w:firstLine="720"/>
      </w:pPr>
      <w:r w:rsidRPr="007F2F47">
        <w:rPr>
          <w:b/>
        </w:rPr>
        <w:t>The</w:t>
      </w:r>
      <w:r>
        <w:t xml:space="preserve"> aspect of double jeopardy makes the case interesting. </w:t>
      </w:r>
      <w:r w:rsidRPr="004E1EB6">
        <w:t>Double jeopardy is where a person (accuse</w:t>
      </w:r>
      <w:r>
        <w:t>d</w:t>
      </w:r>
      <w:r w:rsidRPr="004E1EB6">
        <w:t>)</w:t>
      </w:r>
      <w:r>
        <w:t xml:space="preserve"> is subjected to the same offenc</w:t>
      </w:r>
      <w:r w:rsidRPr="004E1EB6">
        <w:t>e twice</w:t>
      </w:r>
      <w:r>
        <w:t xml:space="preserve">, which may </w:t>
      </w:r>
      <w:r w:rsidRPr="004E1EB6">
        <w:t>lead to double punishment</w:t>
      </w:r>
      <w:r>
        <w:t>. It is prohibited by the constitution.</w:t>
      </w:r>
      <w:r w:rsidRPr="004E1EB6">
        <w:t xml:space="preserve"> </w:t>
      </w:r>
      <w:r w:rsidRPr="007F2F47">
        <w:rPr>
          <w:b/>
        </w:rPr>
        <w:t>The Fifth Amendment of United States provides,</w:t>
      </w:r>
      <w:r w:rsidRPr="004E1EB6">
        <w:t xml:space="preserve"> </w:t>
      </w:r>
      <w:r w:rsidRPr="004E1EB6">
        <w:rPr>
          <w:rStyle w:val="hvr"/>
        </w:rPr>
        <w:t>"No</w:t>
      </w:r>
      <w:r w:rsidRPr="004E1EB6">
        <w:t xml:space="preserve"> </w:t>
      </w:r>
      <w:r w:rsidRPr="004E1EB6">
        <w:rPr>
          <w:rStyle w:val="hvr"/>
        </w:rPr>
        <w:t>person</w:t>
      </w:r>
      <w:r w:rsidRPr="004E1EB6">
        <w:t xml:space="preserve"> </w:t>
      </w:r>
      <w:r w:rsidRPr="004E1EB6">
        <w:rPr>
          <w:rStyle w:val="hvr"/>
        </w:rPr>
        <w:t>shall</w:t>
      </w:r>
      <w:r w:rsidRPr="004E1EB6">
        <w:t xml:space="preserve"> … be </w:t>
      </w:r>
      <w:r w:rsidRPr="004E1EB6">
        <w:rPr>
          <w:rStyle w:val="hvr"/>
        </w:rPr>
        <w:t>subject</w:t>
      </w:r>
      <w:r w:rsidRPr="004E1EB6">
        <w:t xml:space="preserve"> </w:t>
      </w:r>
      <w:r w:rsidRPr="004E1EB6">
        <w:rPr>
          <w:rStyle w:val="hvr"/>
        </w:rPr>
        <w:t>for</w:t>
      </w:r>
      <w:r w:rsidRPr="004E1EB6">
        <w:t xml:space="preserve"> </w:t>
      </w:r>
      <w:r w:rsidRPr="004E1EB6">
        <w:rPr>
          <w:rStyle w:val="hvr"/>
        </w:rPr>
        <w:t>the</w:t>
      </w:r>
      <w:r w:rsidRPr="004E1EB6">
        <w:t xml:space="preserve"> </w:t>
      </w:r>
      <w:r w:rsidRPr="004E1EB6">
        <w:rPr>
          <w:rStyle w:val="hvr"/>
        </w:rPr>
        <w:t>same</w:t>
      </w:r>
      <w:r w:rsidRPr="004E1EB6">
        <w:t xml:space="preserve"> </w:t>
      </w:r>
      <w:r w:rsidRPr="004E1EB6">
        <w:rPr>
          <w:rStyle w:val="hvr"/>
        </w:rPr>
        <w:t>offence</w:t>
      </w:r>
      <w:r w:rsidRPr="004E1EB6">
        <w:t xml:space="preserve"> [</w:t>
      </w:r>
      <w:r w:rsidRPr="004E1EB6">
        <w:rPr>
          <w:rStyle w:val="hvr"/>
          <w:i/>
          <w:iCs/>
        </w:rPr>
        <w:t>sic</w:t>
      </w:r>
      <w:r w:rsidRPr="004E1EB6">
        <w:t xml:space="preserve">] to be </w:t>
      </w:r>
      <w:r w:rsidRPr="004E1EB6">
        <w:rPr>
          <w:rStyle w:val="hvr"/>
        </w:rPr>
        <w:t>twice</w:t>
      </w:r>
      <w:r w:rsidRPr="004E1EB6">
        <w:t xml:space="preserve"> </w:t>
      </w:r>
      <w:r w:rsidRPr="004E1EB6">
        <w:rPr>
          <w:rStyle w:val="hvr"/>
        </w:rPr>
        <w:t>put</w:t>
      </w:r>
      <w:r w:rsidRPr="004E1EB6">
        <w:t xml:space="preserve"> in </w:t>
      </w:r>
      <w:r w:rsidRPr="004E1EB6">
        <w:rPr>
          <w:rStyle w:val="hvr"/>
        </w:rPr>
        <w:t>jeopardy</w:t>
      </w:r>
      <w:r w:rsidRPr="004E1EB6">
        <w:t xml:space="preserve"> of </w:t>
      </w:r>
      <w:r w:rsidRPr="004E1EB6">
        <w:rPr>
          <w:rStyle w:val="hvr"/>
        </w:rPr>
        <w:t>life</w:t>
      </w:r>
      <w:r w:rsidRPr="004E1EB6">
        <w:t xml:space="preserve"> or </w:t>
      </w:r>
      <w:r w:rsidRPr="004E1EB6">
        <w:rPr>
          <w:rStyle w:val="hvr"/>
        </w:rPr>
        <w:t>limb." This provides a clause, which prohibits state as well as f</w:t>
      </w:r>
      <w:r w:rsidRPr="007F2F47">
        <w:rPr>
          <w:rStyle w:val="hvr"/>
          <w:b/>
        </w:rPr>
        <w:t>ederal governments prosecuting people for the same crime.</w:t>
      </w:r>
      <w:r w:rsidRPr="004E1EB6">
        <w:rPr>
          <w:rStyle w:val="hvr"/>
        </w:rPr>
        <w:t xml:space="preserve"> </w:t>
      </w:r>
      <w:r w:rsidRPr="007F2F47">
        <w:rPr>
          <w:rStyle w:val="hvr"/>
          <w:b/>
        </w:rPr>
        <w:t>The double jeopardy clause</w:t>
      </w:r>
      <w:r w:rsidRPr="00632143">
        <w:rPr>
          <w:rStyle w:val="hvr"/>
        </w:rPr>
        <w:t xml:space="preserve"> actually </w:t>
      </w:r>
      <w:r w:rsidRPr="007F2F47">
        <w:rPr>
          <w:rStyle w:val="hvr"/>
          <w:b/>
        </w:rPr>
        <w:t xml:space="preserve">bars both Puerto Rico and </w:t>
      </w:r>
      <w:r w:rsidRPr="007F2F47">
        <w:rPr>
          <w:rStyle w:val="hvr"/>
          <w:b/>
        </w:rPr>
        <w:lastRenderedPageBreak/>
        <w:t>United States from prosecuting a single person for the same conduct under equivalent</w:t>
      </w:r>
      <w:r w:rsidRPr="00632143">
        <w:rPr>
          <w:rStyle w:val="hvr"/>
        </w:rPr>
        <w:t xml:space="preserve"> criminal </w:t>
      </w:r>
      <w:r w:rsidRPr="007F2F47">
        <w:rPr>
          <w:rStyle w:val="hvr"/>
          <w:b/>
        </w:rPr>
        <w:t>laws</w:t>
      </w:r>
      <w:r w:rsidRPr="00632143">
        <w:rPr>
          <w:rStyle w:val="hvr"/>
        </w:rPr>
        <w:t>,</w:t>
      </w:r>
      <w:r w:rsidRPr="004E1EB6">
        <w:rPr>
          <w:rStyle w:val="hvr"/>
        </w:rPr>
        <w:t xml:space="preserve"> </w:t>
      </w:r>
      <w:r w:rsidRPr="004E1EB6">
        <w:t>Rudstein, D. S. (2004).</w:t>
      </w:r>
    </w:p>
    <w:p w:rsidR="00F609C7" w:rsidRPr="00632143" w:rsidRDefault="00632143" w:rsidP="00F609C7">
      <w:pPr>
        <w:spacing w:line="480" w:lineRule="auto"/>
        <w:ind w:firstLine="720"/>
      </w:pPr>
      <w:r w:rsidRPr="00632143">
        <w:t xml:space="preserve">While Puerto Rican prosecutors' arraigned respondents for illicitly offering guns infringing upon the Puerto Rico Arms Act of 2000, government great juries additionally arraigned them, in view of the same exchanges, for violations of comparable to </w:t>
      </w:r>
      <w:r w:rsidRPr="007F2F47">
        <w:rPr>
          <w:b/>
        </w:rPr>
        <w:t>U. S</w:t>
      </w:r>
      <w:r w:rsidRPr="00632143">
        <w:t xml:space="preserve">. weapon </w:t>
      </w:r>
      <w:r w:rsidRPr="007F2F47">
        <w:rPr>
          <w:b/>
        </w:rPr>
        <w:t>trafficking statutes. Both</w:t>
      </w:r>
      <w:r w:rsidRPr="00632143">
        <w:t xml:space="preserve"> litigants conceded </w:t>
      </w:r>
      <w:r w:rsidRPr="007F2F47">
        <w:rPr>
          <w:b/>
        </w:rPr>
        <w:t>to the</w:t>
      </w:r>
      <w:r w:rsidRPr="00632143">
        <w:t xml:space="preserve"> government </w:t>
      </w:r>
      <w:r w:rsidRPr="007F2F47">
        <w:rPr>
          <w:b/>
        </w:rPr>
        <w:t>charges and moved to</w:t>
      </w:r>
      <w:r w:rsidRPr="00632143">
        <w:t xml:space="preserve"> reject </w:t>
      </w:r>
      <w:r w:rsidRPr="007F2F47">
        <w:rPr>
          <w:b/>
        </w:rPr>
        <w:t>the</w:t>
      </w:r>
      <w:r w:rsidRPr="00632143">
        <w:t xml:space="preserve"> pending </w:t>
      </w:r>
      <w:r w:rsidRPr="007F2F47">
        <w:rPr>
          <w:b/>
        </w:rPr>
        <w:t>Commonwealth charges on</w:t>
      </w:r>
      <w:r w:rsidRPr="00632143">
        <w:t xml:space="preserve"> twofold risk </w:t>
      </w:r>
      <w:r w:rsidRPr="007F2F47">
        <w:rPr>
          <w:b/>
        </w:rPr>
        <w:t>grounds. The</w:t>
      </w:r>
      <w:r w:rsidRPr="00632143">
        <w:t xml:space="preserve"> Supreme C</w:t>
      </w:r>
      <w:r w:rsidRPr="007F2F47">
        <w:rPr>
          <w:b/>
        </w:rPr>
        <w:t>ourt of Puerto Rico</w:t>
      </w:r>
      <w:r w:rsidRPr="00632143">
        <w:t xml:space="preserve"> allowed survey </w:t>
      </w:r>
      <w:r w:rsidRPr="007F2F47">
        <w:rPr>
          <w:b/>
        </w:rPr>
        <w:t>and held, in</w:t>
      </w:r>
      <w:r w:rsidRPr="00632143">
        <w:t xml:space="preserve"> accordance </w:t>
      </w:r>
      <w:r w:rsidRPr="007F2F47">
        <w:rPr>
          <w:b/>
        </w:rPr>
        <w:t>with the trial court, that Puerto Rico's</w:t>
      </w:r>
      <w:r w:rsidRPr="00632143">
        <w:t xml:space="preserve"> firearm deal arraignments disregarded the Double Jeopardy. The respondents at last got equity as really required.</w:t>
      </w:r>
    </w:p>
    <w:p w:rsidR="00F609C7" w:rsidRPr="005855FB" w:rsidRDefault="00F609C7" w:rsidP="00F609C7">
      <w:pPr>
        <w:spacing w:line="480" w:lineRule="auto"/>
      </w:pPr>
      <w:r>
        <w:rPr>
          <w:rStyle w:val="qa-interaction-thread-content"/>
        </w:rPr>
        <w:t xml:space="preserve">The sources of law as established in the case include the constitution, common law (case precedents) and the statutes and ordinances. The </w:t>
      </w:r>
      <w:r w:rsidRPr="007F2F47">
        <w:rPr>
          <w:rStyle w:val="qa-interaction-thread-content"/>
          <w:b/>
        </w:rPr>
        <w:t>Fifth Amendment of United States Constitution provides that</w:t>
      </w:r>
      <w:r>
        <w:rPr>
          <w:rStyle w:val="qa-interaction-thread-content"/>
        </w:rPr>
        <w:t xml:space="preserve"> </w:t>
      </w:r>
      <w:r w:rsidRPr="004E1EB6">
        <w:rPr>
          <w:rStyle w:val="hvr"/>
        </w:rPr>
        <w:t>"No</w:t>
      </w:r>
      <w:r w:rsidRPr="004E1EB6">
        <w:t xml:space="preserve"> </w:t>
      </w:r>
      <w:r w:rsidRPr="004E1EB6">
        <w:rPr>
          <w:rStyle w:val="hvr"/>
        </w:rPr>
        <w:t>person</w:t>
      </w:r>
      <w:r w:rsidRPr="004E1EB6">
        <w:t xml:space="preserve"> </w:t>
      </w:r>
      <w:r w:rsidRPr="004E1EB6">
        <w:rPr>
          <w:rStyle w:val="hvr"/>
        </w:rPr>
        <w:t>shall</w:t>
      </w:r>
      <w:r w:rsidRPr="004E1EB6">
        <w:t xml:space="preserve"> … be </w:t>
      </w:r>
      <w:r w:rsidRPr="004E1EB6">
        <w:rPr>
          <w:rStyle w:val="hvr"/>
        </w:rPr>
        <w:t>subject</w:t>
      </w:r>
      <w:r w:rsidRPr="004E1EB6">
        <w:t xml:space="preserve"> </w:t>
      </w:r>
      <w:r w:rsidRPr="004E1EB6">
        <w:rPr>
          <w:rStyle w:val="hvr"/>
        </w:rPr>
        <w:t>for</w:t>
      </w:r>
      <w:r w:rsidRPr="004E1EB6">
        <w:t xml:space="preserve"> </w:t>
      </w:r>
      <w:r w:rsidRPr="004E1EB6">
        <w:rPr>
          <w:rStyle w:val="hvr"/>
        </w:rPr>
        <w:t>the</w:t>
      </w:r>
      <w:r w:rsidRPr="004E1EB6">
        <w:t xml:space="preserve"> </w:t>
      </w:r>
      <w:r w:rsidRPr="004E1EB6">
        <w:rPr>
          <w:rStyle w:val="hvr"/>
        </w:rPr>
        <w:t>same</w:t>
      </w:r>
      <w:r w:rsidRPr="004E1EB6">
        <w:t xml:space="preserve"> </w:t>
      </w:r>
      <w:r w:rsidRPr="004E1EB6">
        <w:rPr>
          <w:rStyle w:val="hvr"/>
        </w:rPr>
        <w:t>offence</w:t>
      </w:r>
      <w:r w:rsidRPr="004E1EB6">
        <w:t xml:space="preserve"> [</w:t>
      </w:r>
      <w:r w:rsidRPr="004E1EB6">
        <w:rPr>
          <w:rStyle w:val="hvr"/>
          <w:i/>
          <w:iCs/>
        </w:rPr>
        <w:t>sic</w:t>
      </w:r>
      <w:r w:rsidRPr="004E1EB6">
        <w:t xml:space="preserve">] to be </w:t>
      </w:r>
      <w:r w:rsidRPr="004E1EB6">
        <w:rPr>
          <w:rStyle w:val="hvr"/>
        </w:rPr>
        <w:t>twice</w:t>
      </w:r>
      <w:r w:rsidRPr="004E1EB6">
        <w:t xml:space="preserve"> </w:t>
      </w:r>
      <w:r w:rsidRPr="004E1EB6">
        <w:rPr>
          <w:rStyle w:val="hvr"/>
        </w:rPr>
        <w:t>put</w:t>
      </w:r>
      <w:r w:rsidRPr="004E1EB6">
        <w:t xml:space="preserve"> in </w:t>
      </w:r>
      <w:r w:rsidRPr="004E1EB6">
        <w:rPr>
          <w:rStyle w:val="hvr"/>
        </w:rPr>
        <w:t>jeopardy</w:t>
      </w:r>
      <w:r w:rsidRPr="004E1EB6">
        <w:t xml:space="preserve"> of </w:t>
      </w:r>
      <w:r w:rsidRPr="004E1EB6">
        <w:rPr>
          <w:rStyle w:val="hvr"/>
        </w:rPr>
        <w:t>life</w:t>
      </w:r>
      <w:r w:rsidRPr="004E1EB6">
        <w:t xml:space="preserve"> or </w:t>
      </w:r>
      <w:r w:rsidRPr="004E1EB6">
        <w:rPr>
          <w:rStyle w:val="hvr"/>
        </w:rPr>
        <w:t>limb."</w:t>
      </w:r>
      <w:r>
        <w:rPr>
          <w:rStyle w:val="hvr"/>
        </w:rPr>
        <w:t xml:space="preserve"> </w:t>
      </w:r>
      <w:r w:rsidRPr="007F2F47">
        <w:rPr>
          <w:rStyle w:val="hvr"/>
          <w:b/>
        </w:rPr>
        <w:t>The</w:t>
      </w:r>
      <w:r>
        <w:rPr>
          <w:rStyle w:val="hvr"/>
        </w:rPr>
        <w:t xml:space="preserve"> Supreme Court considered various precedents before deciding this case. For example, they borrowed the test in </w:t>
      </w:r>
      <w:r w:rsidRPr="005855FB">
        <w:rPr>
          <w:i/>
          <w:iCs/>
          <w:color w:val="000000"/>
        </w:rPr>
        <w:t xml:space="preserve">United States </w:t>
      </w:r>
      <w:r w:rsidRPr="005855FB">
        <w:rPr>
          <w:color w:val="000000"/>
        </w:rPr>
        <w:t xml:space="preserve">v. </w:t>
      </w:r>
      <w:r w:rsidRPr="005855FB">
        <w:rPr>
          <w:i/>
          <w:iCs/>
          <w:color w:val="000000"/>
        </w:rPr>
        <w:t>Wheeler</w:t>
      </w:r>
      <w:r>
        <w:rPr>
          <w:color w:val="000000"/>
        </w:rPr>
        <w:t xml:space="preserve">, 435 U. S. 313, 320 (1978), </w:t>
      </w:r>
      <w:r w:rsidR="00632143" w:rsidRPr="007F2F47">
        <w:rPr>
          <w:b/>
          <w:color w:val="000000"/>
        </w:rPr>
        <w:t>that</w:t>
      </w:r>
      <w:r w:rsidR="00632143" w:rsidRPr="00632143">
        <w:rPr>
          <w:color w:val="000000"/>
        </w:rPr>
        <w:t xml:space="preserve"> is whether </w:t>
      </w:r>
      <w:r w:rsidR="00632143" w:rsidRPr="007F2F47">
        <w:rPr>
          <w:b/>
          <w:color w:val="000000"/>
        </w:rPr>
        <w:t>the</w:t>
      </w:r>
      <w:r w:rsidR="00632143" w:rsidRPr="00632143">
        <w:rPr>
          <w:color w:val="000000"/>
        </w:rPr>
        <w:t xml:space="preserve"> prosecutorial forces of the two purviews had free starting points or, said then again, whether those forces get from the same "extreme source,</w:t>
      </w:r>
      <w:r>
        <w:rPr>
          <w:color w:val="000000"/>
        </w:rPr>
        <w:t xml:space="preserve"> for the same to amount to double jeopardy. In addition, the Court looked into other statutes enacted to supplement criminal law. For example, the </w:t>
      </w:r>
      <w:r w:rsidRPr="004E1EB6">
        <w:t>Puerto Rico Arms Act of 2000</w:t>
      </w:r>
      <w:r>
        <w:t xml:space="preserve"> under which the Respondents were indicted.</w:t>
      </w:r>
    </w:p>
    <w:p w:rsidR="00F609C7" w:rsidRPr="005855FB" w:rsidRDefault="00F609C7" w:rsidP="00F609C7">
      <w:pPr>
        <w:spacing w:line="480" w:lineRule="auto"/>
      </w:pPr>
      <w:r>
        <w:tab/>
        <w:t xml:space="preserve">The purposes of criminal law include deterrence, retribution, incapacitation, and rehabilitation. Deterrence refers to punishing the offenders with the aim of deterring them from committing the crime again. Retribution aims at inflicting some pain to the offenders so that they </w:t>
      </w:r>
      <w:r>
        <w:lastRenderedPageBreak/>
        <w:t>desist from the crimes. In incapacitation, the offenders are actually locked up so that they cannot be able to commit the offences again. Lastly, in rehabilitation the offenders are committed to facilities that will help them change their antisocial behavior. The main purpose for the jeopardy clause as discussed above is to avoid situations where the accused persons are subjected to double punishment. This would be in cases of retribution and incapacitation, which are basically elements in deterrence.</w:t>
      </w:r>
    </w:p>
    <w:p w:rsidR="00F609C7" w:rsidRDefault="00F609C7" w:rsidP="00F609C7">
      <w:pPr>
        <w:spacing w:line="480" w:lineRule="auto"/>
        <w:ind w:firstLine="720"/>
      </w:pPr>
      <w:r>
        <w:t xml:space="preserve">The jurisdiction of criminal law as depicted in this case includes the trial courts, the Court of Appeal and the Supreme Court.  The aspect of review of criminal cases by the Supreme Court has also been established by the case. It has also become apparent that while the </w:t>
      </w:r>
      <w:r w:rsidRPr="004E1EB6">
        <w:t xml:space="preserve">United States had power to define </w:t>
      </w:r>
      <w:r>
        <w:t xml:space="preserve">and </w:t>
      </w:r>
      <w:r w:rsidRPr="004E1EB6">
        <w:t xml:space="preserve">enact criminal laws </w:t>
      </w:r>
      <w:r>
        <w:t xml:space="preserve">it </w:t>
      </w:r>
      <w:r w:rsidRPr="004E1EB6">
        <w:t>did not have power to subject respondents in this case to double jeopardy as that is violating individuals rights enshrined in the constitution.</w:t>
      </w:r>
    </w:p>
    <w:p w:rsidR="00F609C7" w:rsidRPr="004E1EB6" w:rsidRDefault="00F609C7" w:rsidP="00F609C7">
      <w:pPr>
        <w:spacing w:line="480" w:lineRule="auto"/>
        <w:ind w:firstLine="720"/>
        <w:rPr>
          <w:b/>
        </w:rPr>
      </w:pPr>
      <w:r w:rsidRPr="004E1EB6">
        <w:t xml:space="preserve">Accomplice liability </w:t>
      </w:r>
      <w:r>
        <w:t xml:space="preserve">refers to situations where </w:t>
      </w:r>
      <w:r w:rsidRPr="004E1EB6">
        <w:t>an accomplice faces the</w:t>
      </w:r>
      <w:r>
        <w:t xml:space="preserve"> same degree of guilt and</w:t>
      </w:r>
      <w:r w:rsidRPr="004E1EB6">
        <w:t xml:space="preserve"> punishment as the individual who committed the cr</w:t>
      </w:r>
      <w:r>
        <w:t>ime including the terms of imprisonment</w:t>
      </w:r>
      <w:r w:rsidRPr="004E1EB6">
        <w:t xml:space="preserve">. The key determining factor </w:t>
      </w:r>
      <w:r>
        <w:t xml:space="preserve">considered </w:t>
      </w:r>
      <w:r w:rsidRPr="004E1EB6">
        <w:t>is whether the individual intentionally and voluntary encouraged or assisted in the commission of crime or otherwise failed to prevent it, Heyman, M. (2015).</w:t>
      </w:r>
      <w:r>
        <w:t xml:space="preserve"> </w:t>
      </w:r>
      <w:r w:rsidR="00632143" w:rsidRPr="00632143">
        <w:t>The Respondents, Luis Sánchez Valle, and Jaime Gómez Vazquez, each sold a firearm to a covert cop.</w:t>
      </w:r>
      <w:r w:rsidRPr="004E1EB6">
        <w:t xml:space="preserve"> So both Luis Sánchez Valle and Jaime Gómez Vazquez will be punished equally with the undercover police </w:t>
      </w:r>
      <w:r>
        <w:t xml:space="preserve">for any </w:t>
      </w:r>
      <w:r w:rsidRPr="004E1EB6">
        <w:t>cri</w:t>
      </w:r>
      <w:r>
        <w:t xml:space="preserve">me committed by the undercover </w:t>
      </w:r>
      <w:r w:rsidRPr="004E1EB6">
        <w:t xml:space="preserve">police officer using the gun. </w:t>
      </w:r>
    </w:p>
    <w:p w:rsidR="00F609C7" w:rsidRDefault="00E70568" w:rsidP="00F609C7">
      <w:pPr>
        <w:spacing w:line="480" w:lineRule="auto"/>
        <w:ind w:firstLine="720"/>
      </w:pPr>
      <w:r w:rsidRPr="00E70568">
        <w:rPr>
          <w:rStyle w:val="qa-interaction-thread-content"/>
        </w:rPr>
        <w:t xml:space="preserve">Criminal risk alludes to obligation that emerges out of violating a law or carrying out a criminal demonstration. Under criminal obligation, a man is subject, or mindful, for a wrongdoing when he/she has acted with criminal aim instead of acting incidentally or without the capacity to act purposely, Uhlmann, D. M. (2013). Luis Sánchez Valle and Jaime Gómez </w:t>
      </w:r>
      <w:r w:rsidRPr="00E70568">
        <w:rPr>
          <w:rStyle w:val="qa-interaction-thread-content"/>
        </w:rPr>
        <w:lastRenderedPageBreak/>
        <w:t>Vazquez confessed for infringement of similar to U. S. firearm trafficking statutes.</w:t>
      </w:r>
      <w:r w:rsidR="00F609C7" w:rsidRPr="004E1EB6">
        <w:t xml:space="preserve"> This therefore means they are liable for this offense, which they committed as it, was not accidental as there is the presence of criminal intent.</w:t>
      </w:r>
    </w:p>
    <w:p w:rsidR="00F609C7" w:rsidRDefault="00F609C7" w:rsidP="00F609C7">
      <w:pPr>
        <w:spacing w:line="480" w:lineRule="auto"/>
      </w:pPr>
      <w:r>
        <w:rPr>
          <w:rStyle w:val="qa-interaction-thread-content"/>
        </w:rPr>
        <w:t xml:space="preserve">Actus Reus is the unlawful omission or act supposed to occur or that has occurred. It is the physical act of the crime committed. </w:t>
      </w:r>
      <w:r w:rsidR="00E70568" w:rsidRPr="00E70568">
        <w:rPr>
          <w:rStyle w:val="qa-interaction-thread-content"/>
        </w:rPr>
        <w:t>This may likewise add to the premise of criminal risk. Luis Sánchez Valle and Jaime Gó</w:t>
      </w:r>
      <w:r w:rsidR="00E70568">
        <w:rPr>
          <w:rStyle w:val="qa-interaction-thread-content"/>
        </w:rPr>
        <w:t>mez Vazquez confessed for viola</w:t>
      </w:r>
      <w:r w:rsidR="00E70568" w:rsidRPr="00E70568">
        <w:rPr>
          <w:rStyle w:val="qa-interaction-thread-content"/>
        </w:rPr>
        <w:t>tions of practically equivalent to U. S. weapon trafficking statutes since they were included in firearm trafficking, which is an illicit go about and also a wrongdoing demonstration. By confessing they recognized to have submitted the demonstration.</w:t>
      </w:r>
      <w:r w:rsidRPr="004E1EB6">
        <w:t xml:space="preserve"> </w:t>
      </w:r>
    </w:p>
    <w:p w:rsidR="00F609C7" w:rsidRDefault="00F609C7" w:rsidP="00F609C7">
      <w:pPr>
        <w:spacing w:line="480" w:lineRule="auto"/>
        <w:ind w:firstLine="360"/>
      </w:pPr>
      <w:r>
        <w:rPr>
          <w:rStyle w:val="qa-interaction-thread-content"/>
        </w:rPr>
        <w:t xml:space="preserve">On the other hand, </w:t>
      </w:r>
      <w:r>
        <w:t>m</w:t>
      </w:r>
      <w:r w:rsidRPr="00267894">
        <w:t>ens rea</w:t>
      </w:r>
      <w:r w:rsidRPr="004E1EB6">
        <w:rPr>
          <w:b/>
        </w:rPr>
        <w:t xml:space="preserve"> </w:t>
      </w:r>
      <w:r>
        <w:t>also referred to as c</w:t>
      </w:r>
      <w:r w:rsidRPr="00267894">
        <w:t>riminal intent</w:t>
      </w:r>
      <w:r>
        <w:t xml:space="preserve"> refers to the </w:t>
      </w:r>
      <w:r w:rsidRPr="004E1EB6">
        <w:t>mental intention. It is the mental state of defendants during the time at which he/she committed an offense. It is the guilty mind. It actually varies depending on the nature of a given offense.  They must proof in court of law that the murder for example or any criminal act, someone committed knowingly, or willingly, or recklessly, there must be an aspect of motive also.</w:t>
      </w:r>
      <w:r>
        <w:t xml:space="preserve"> </w:t>
      </w:r>
      <w:r w:rsidRPr="004E1EB6">
        <w:t>Luis Sánchez Valle and Jaime Gómez Vazquez were aware that the activity they were undertaking was illegal and that those guns they illegal being sold would obviously be used for criminal purposes.</w:t>
      </w:r>
      <w:r>
        <w:t xml:space="preserve"> Thus, they had the clear intention to do the illegal act. </w:t>
      </w:r>
    </w:p>
    <w:p w:rsidR="00F609C7" w:rsidRDefault="00F609C7" w:rsidP="00F609C7">
      <w:pPr>
        <w:spacing w:line="480" w:lineRule="auto"/>
        <w:ind w:firstLine="720"/>
      </w:pPr>
      <w:r>
        <w:t>Concurrence includes both the criminal act and the criminal intent.</w:t>
      </w:r>
      <w:r w:rsidRPr="004E1EB6">
        <w:t xml:space="preserve"> In general, the both acts must always coexist but the criminal intent must precede the criminal act or rather makes or cause the act to happen.</w:t>
      </w:r>
      <w:r>
        <w:t xml:space="preserve"> Concurrence is present in this scenario. The Respondents had both the actus reus and the mens rea.</w:t>
      </w:r>
    </w:p>
    <w:p w:rsidR="00F609C7" w:rsidRPr="004E1EB6" w:rsidRDefault="00F609C7" w:rsidP="00F609C7">
      <w:pPr>
        <w:spacing w:line="480" w:lineRule="auto"/>
        <w:ind w:firstLine="720"/>
      </w:pPr>
      <w:r w:rsidRPr="004E1EB6">
        <w:t xml:space="preserve">Double jeopardy is prohibited in the constitution. Sources of criminal law include constitution, common law, statutes, and ordinances. The main purpose of criminal law is </w:t>
      </w:r>
      <w:r w:rsidRPr="004E1EB6">
        <w:lastRenderedPageBreak/>
        <w:t>deterrence, retribution, incapacitation, and rehabilitation. There is jurisdiction of criminal law, and criminal liability and accomplish liability together with all elements of crime must be determine in a criminal case before sentencing or acquittal.</w:t>
      </w:r>
    </w:p>
    <w:p w:rsidR="00F609C7" w:rsidRPr="004E1EB6" w:rsidRDefault="00F609C7" w:rsidP="00F609C7">
      <w:pPr>
        <w:spacing w:line="480" w:lineRule="auto"/>
        <w:ind w:firstLine="720"/>
        <w:rPr>
          <w:rStyle w:val="qa-interaction-thread-content"/>
        </w:rPr>
      </w:pPr>
    </w:p>
    <w:p w:rsidR="00F609C7" w:rsidRDefault="00F609C7" w:rsidP="00F609C7">
      <w:pPr>
        <w:spacing w:line="480" w:lineRule="auto"/>
      </w:pPr>
      <w:r>
        <w:br/>
      </w:r>
      <w:r>
        <w:br/>
      </w: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Default="00F609C7" w:rsidP="00F609C7">
      <w:pPr>
        <w:spacing w:line="480" w:lineRule="auto"/>
      </w:pPr>
    </w:p>
    <w:p w:rsidR="00F609C7" w:rsidRPr="00F74FE3" w:rsidRDefault="00F609C7" w:rsidP="00F609C7">
      <w:pPr>
        <w:spacing w:line="480" w:lineRule="auto"/>
      </w:pPr>
      <w:r>
        <w:t xml:space="preserve">                                                      </w:t>
      </w:r>
      <w:r w:rsidRPr="00F74FE3">
        <w:t>References</w:t>
      </w:r>
    </w:p>
    <w:p w:rsidR="00F609C7" w:rsidRPr="00F74FE3" w:rsidRDefault="00F609C7" w:rsidP="002A780D">
      <w:pPr>
        <w:spacing w:line="480" w:lineRule="auto"/>
        <w:ind w:left="720" w:hanging="720"/>
      </w:pPr>
      <w:r w:rsidRPr="00F74FE3">
        <w:t xml:space="preserve">Rudstein, D. S. (2004). </w:t>
      </w:r>
      <w:r w:rsidRPr="00F74FE3">
        <w:rPr>
          <w:i/>
          <w:iCs/>
        </w:rPr>
        <w:t>Double jeopardy: a reference guide to the United States constitution</w:t>
      </w:r>
      <w:r w:rsidRPr="00F74FE3">
        <w:t xml:space="preserve"> (No. 9). Greenwood Publishing Group.</w:t>
      </w:r>
    </w:p>
    <w:p w:rsidR="002A780D" w:rsidRDefault="002A780D" w:rsidP="002A780D">
      <w:pPr>
        <w:spacing w:line="480" w:lineRule="auto"/>
        <w:ind w:left="720" w:hanging="720"/>
      </w:pPr>
    </w:p>
    <w:p w:rsidR="00F609C7" w:rsidRPr="00F74FE3" w:rsidRDefault="00F609C7" w:rsidP="002A780D">
      <w:pPr>
        <w:spacing w:line="480" w:lineRule="auto"/>
        <w:ind w:left="720" w:hanging="720"/>
      </w:pPr>
      <w:r w:rsidRPr="00F74FE3">
        <w:t xml:space="preserve">Heyman, M. (2015). Due Process Limits on Accomplice Liability. </w:t>
      </w:r>
      <w:r w:rsidRPr="00F74FE3">
        <w:rPr>
          <w:i/>
          <w:iCs/>
        </w:rPr>
        <w:t>Minnesota Law Review</w:t>
      </w:r>
      <w:r w:rsidRPr="00F74FE3">
        <w:t xml:space="preserve">, </w:t>
      </w:r>
      <w:r w:rsidRPr="00F74FE3">
        <w:rPr>
          <w:i/>
          <w:iCs/>
        </w:rPr>
        <w:t>99</w:t>
      </w:r>
      <w:r w:rsidRPr="00F74FE3">
        <w:t>(3).</w:t>
      </w:r>
    </w:p>
    <w:p w:rsidR="002A780D" w:rsidRDefault="002A780D" w:rsidP="002A780D">
      <w:pPr>
        <w:spacing w:line="480" w:lineRule="auto"/>
        <w:ind w:left="720" w:hanging="720"/>
      </w:pPr>
    </w:p>
    <w:p w:rsidR="00F609C7" w:rsidRPr="00F74FE3" w:rsidRDefault="00F609C7" w:rsidP="002A780D">
      <w:pPr>
        <w:spacing w:line="480" w:lineRule="auto"/>
        <w:ind w:left="720" w:hanging="720"/>
      </w:pPr>
      <w:r w:rsidRPr="00F74FE3">
        <w:t xml:space="preserve">Uhlmann, D. M. (2013). Deferred Prosecution and Non-Prosecution Agreements and the Erosion of Corporate Criminal Liability. </w:t>
      </w:r>
      <w:r w:rsidRPr="00F74FE3">
        <w:rPr>
          <w:i/>
          <w:iCs/>
        </w:rPr>
        <w:t>Maryland Law Review</w:t>
      </w:r>
      <w:r w:rsidRPr="00F74FE3">
        <w:t xml:space="preserve">, </w:t>
      </w:r>
      <w:r w:rsidRPr="00F74FE3">
        <w:rPr>
          <w:i/>
          <w:iCs/>
        </w:rPr>
        <w:t>72</w:t>
      </w:r>
      <w:r w:rsidRPr="00F74FE3">
        <w:t>(4).</w:t>
      </w:r>
    </w:p>
    <w:p w:rsidR="00F609C7" w:rsidRPr="00F609C7" w:rsidRDefault="00F609C7" w:rsidP="00F609C7">
      <w:pPr>
        <w:pStyle w:val="APA"/>
      </w:pPr>
    </w:p>
    <w:sectPr w:rsidR="00F609C7" w:rsidRPr="00F609C7" w:rsidSect="00F609C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F47" w:rsidRDefault="007F2F47">
      <w:r>
        <w:separator/>
      </w:r>
    </w:p>
  </w:endnote>
  <w:endnote w:type="continuationSeparator" w:id="0">
    <w:p w:rsidR="007F2F47" w:rsidRDefault="007F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F47" w:rsidRDefault="007F2F47">
      <w:r>
        <w:separator/>
      </w:r>
    </w:p>
  </w:footnote>
  <w:footnote w:type="continuationSeparator" w:id="0">
    <w:p w:rsidR="007F2F47" w:rsidRDefault="007F2F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4788"/>
      <w:gridCol w:w="4788"/>
    </w:tblGrid>
    <w:tr w:rsidR="007F2F47" w:rsidTr="00F609C7">
      <w:tblPrEx>
        <w:tblCellMar>
          <w:top w:w="0" w:type="dxa"/>
          <w:bottom w:w="0" w:type="dxa"/>
        </w:tblCellMar>
      </w:tblPrEx>
      <w:tc>
        <w:tcPr>
          <w:tcW w:w="4500" w:type="pct"/>
          <w:shd w:val="clear" w:color="auto" w:fill="auto"/>
        </w:tcPr>
        <w:p w:rsidR="007F2F47" w:rsidRPr="00F609C7" w:rsidRDefault="007F2F47" w:rsidP="00F609C7">
          <w:pPr>
            <w:pStyle w:val="Header"/>
          </w:pPr>
          <w:bookmarkStart w:id="4" w:name="bkRunningHead"/>
          <w:r w:rsidRPr="00F609C7">
            <w:t>CRIMINAL LAW</w:t>
          </w:r>
          <w:bookmarkEnd w:id="4"/>
        </w:p>
      </w:tc>
      <w:tc>
        <w:tcPr>
          <w:tcW w:w="2500" w:type="pct"/>
          <w:shd w:val="clear" w:color="auto" w:fill="auto"/>
        </w:tcPr>
        <w:p w:rsidR="007F2F47" w:rsidRDefault="007F2F47" w:rsidP="00F609C7">
          <w:pPr>
            <w:pStyle w:val="Header"/>
            <w:jc w:val="right"/>
          </w:pPr>
          <w:r>
            <w:t xml:space="preserve"> </w:t>
          </w:r>
          <w:r>
            <w:fldChar w:fldCharType="begin"/>
          </w:r>
          <w:r>
            <w:instrText xml:space="preserve"> PAGE  \* MERGEFORMAT </w:instrText>
          </w:r>
          <w:r>
            <w:fldChar w:fldCharType="separate"/>
          </w:r>
          <w:r w:rsidR="00EB1D49">
            <w:rPr>
              <w:noProof/>
            </w:rPr>
            <w:t>2</w:t>
          </w:r>
          <w:r>
            <w:fldChar w:fldCharType="end"/>
          </w:r>
        </w:p>
        <w:p w:rsidR="007F2F47" w:rsidRDefault="007F2F47" w:rsidP="00F609C7">
          <w:pPr>
            <w:pStyle w:val="Header"/>
          </w:pPr>
        </w:p>
      </w:tc>
    </w:tr>
  </w:tbl>
  <w:p w:rsidR="007F2F47" w:rsidRPr="00F609C7" w:rsidRDefault="007F2F47" w:rsidP="00F609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7F2F47" w:rsidTr="00F609C7">
      <w:tblPrEx>
        <w:tblCellMar>
          <w:top w:w="0" w:type="dxa"/>
          <w:bottom w:w="0" w:type="dxa"/>
        </w:tblCellMar>
      </w:tblPrEx>
      <w:tc>
        <w:tcPr>
          <w:tcW w:w="4500" w:type="pct"/>
          <w:shd w:val="clear" w:color="auto" w:fill="auto"/>
        </w:tcPr>
        <w:p w:rsidR="007F2F47" w:rsidRPr="00F609C7" w:rsidRDefault="007F2F47" w:rsidP="00F609C7">
          <w:pPr>
            <w:pStyle w:val="Header"/>
          </w:pPr>
          <w:bookmarkStart w:id="5" w:name="bkTitleRunningHead"/>
          <w:r w:rsidRPr="00F609C7">
            <w:t>Running head: CRIMINAL LAW</w:t>
          </w:r>
          <w:bookmarkEnd w:id="5"/>
        </w:p>
      </w:tc>
      <w:tc>
        <w:tcPr>
          <w:tcW w:w="2500" w:type="pct"/>
          <w:shd w:val="clear" w:color="auto" w:fill="auto"/>
        </w:tcPr>
        <w:p w:rsidR="007F2F47" w:rsidRDefault="007F2F47" w:rsidP="00F609C7">
          <w:pPr>
            <w:pStyle w:val="Header"/>
            <w:jc w:val="right"/>
          </w:pPr>
          <w:r>
            <w:t xml:space="preserve"> </w:t>
          </w:r>
          <w:r>
            <w:fldChar w:fldCharType="begin"/>
          </w:r>
          <w:r>
            <w:instrText xml:space="preserve"> PAGE  \* MERGEFORMAT </w:instrText>
          </w:r>
          <w:r>
            <w:fldChar w:fldCharType="separate"/>
          </w:r>
          <w:r w:rsidR="00EB1D49">
            <w:rPr>
              <w:noProof/>
            </w:rPr>
            <w:t>1</w:t>
          </w:r>
          <w:r>
            <w:fldChar w:fldCharType="end"/>
          </w:r>
        </w:p>
        <w:p w:rsidR="007F2F47" w:rsidRDefault="007F2F47" w:rsidP="00F609C7">
          <w:pPr>
            <w:pStyle w:val="Header"/>
          </w:pPr>
        </w:p>
      </w:tc>
    </w:tr>
  </w:tbl>
  <w:p w:rsidR="007F2F47" w:rsidRPr="00F609C7" w:rsidRDefault="007F2F47" w:rsidP="00F60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s>
  <w:rsids>
    <w:rsidRoot w:val="00F609C7"/>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123E"/>
    <w:rsid w:val="0017347F"/>
    <w:rsid w:val="00177751"/>
    <w:rsid w:val="001828A2"/>
    <w:rsid w:val="00192AE3"/>
    <w:rsid w:val="001947D0"/>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10E5"/>
    <w:rsid w:val="002A2C6F"/>
    <w:rsid w:val="002A780D"/>
    <w:rsid w:val="002C0672"/>
    <w:rsid w:val="002D0486"/>
    <w:rsid w:val="002D0B13"/>
    <w:rsid w:val="002D33B9"/>
    <w:rsid w:val="002E21B1"/>
    <w:rsid w:val="002F20F2"/>
    <w:rsid w:val="002F507B"/>
    <w:rsid w:val="0031289F"/>
    <w:rsid w:val="0032337E"/>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66A4"/>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2143"/>
    <w:rsid w:val="006362A0"/>
    <w:rsid w:val="0064493B"/>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2F47"/>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52787"/>
    <w:rsid w:val="00955A51"/>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247EB"/>
    <w:rsid w:val="00B3041D"/>
    <w:rsid w:val="00B316B4"/>
    <w:rsid w:val="00B36297"/>
    <w:rsid w:val="00B603EE"/>
    <w:rsid w:val="00B615C4"/>
    <w:rsid w:val="00B61FC6"/>
    <w:rsid w:val="00B85F0E"/>
    <w:rsid w:val="00B9170B"/>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B30C8"/>
    <w:rsid w:val="00DC0246"/>
    <w:rsid w:val="00DC100E"/>
    <w:rsid w:val="00DC2281"/>
    <w:rsid w:val="00DC347C"/>
    <w:rsid w:val="00DC4233"/>
    <w:rsid w:val="00DC5992"/>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70568"/>
    <w:rsid w:val="00E81A2F"/>
    <w:rsid w:val="00E87CEF"/>
    <w:rsid w:val="00EA472B"/>
    <w:rsid w:val="00EB1D49"/>
    <w:rsid w:val="00EB2C38"/>
    <w:rsid w:val="00EB6196"/>
    <w:rsid w:val="00EC129F"/>
    <w:rsid w:val="00EC1BBA"/>
    <w:rsid w:val="00EC28A7"/>
    <w:rsid w:val="00EC4288"/>
    <w:rsid w:val="00ED3EBE"/>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09C7"/>
    <w:rsid w:val="00F62B52"/>
    <w:rsid w:val="00F65E88"/>
    <w:rsid w:val="00F72369"/>
    <w:rsid w:val="00F7493E"/>
    <w:rsid w:val="00F7629E"/>
    <w:rsid w:val="00F80F9E"/>
    <w:rsid w:val="00F94341"/>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18D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qa-interaction-thread-content">
    <w:name w:val="qa-interaction-thread-content"/>
    <w:basedOn w:val="DefaultParagraphFont"/>
    <w:rsid w:val="00F609C7"/>
  </w:style>
  <w:style w:type="character" w:customStyle="1" w:styleId="hvr">
    <w:name w:val="hvr"/>
    <w:basedOn w:val="DefaultParagraphFont"/>
    <w:rsid w:val="00F609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qa-interaction-thread-content">
    <w:name w:val="qa-interaction-thread-content"/>
    <w:basedOn w:val="DefaultParagraphFont"/>
    <w:rsid w:val="00F609C7"/>
  </w:style>
  <w:style w:type="character" w:customStyle="1" w:styleId="hvr">
    <w:name w:val="hvr"/>
    <w:basedOn w:val="DefaultParagraphFont"/>
    <w:rsid w:val="00F6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Riverpoint%20Writer:Riverpoi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Riverpoint.dotm</Template>
  <TotalTime>0</TotalTime>
  <Pages>7</Pages>
  <Words>1318</Words>
  <Characters>7136</Characters>
  <Application>Microsoft Macintosh Word</Application>
  <DocSecurity>0</DocSecurity>
  <Lines>1784</Lines>
  <Paragraphs>768</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Law</dc:title>
  <dc:subject>Paper Formatter</dc:subject>
  <dc:creator>Paris Robinson</dc:creator>
  <cp:keywords/>
  <dc:description/>
  <cp:lastModifiedBy>paris robinson</cp:lastModifiedBy>
  <cp:revision>2</cp:revision>
  <dcterms:created xsi:type="dcterms:W3CDTF">2016-07-19T05:26:00Z</dcterms:created>
  <dcterms:modified xsi:type="dcterms:W3CDTF">2016-07-19T05:26:00Z</dcterms:modified>
  <cp:category>School Papers</cp:category>
</cp:coreProperties>
</file>